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2" w:rsidRPr="000C382A" w:rsidRDefault="004A7622" w:rsidP="004A7622">
      <w:pPr>
        <w:jc w:val="center"/>
        <w:rPr>
          <w:rFonts w:ascii="Cambria" w:hAnsi="Cambria"/>
          <w:b/>
          <w:sz w:val="36"/>
          <w:szCs w:val="36"/>
        </w:rPr>
      </w:pPr>
      <w:r w:rsidRPr="000C382A">
        <w:rPr>
          <w:rFonts w:ascii="Cambria" w:hAnsi="Cambria"/>
          <w:b/>
          <w:sz w:val="36"/>
          <w:szCs w:val="36"/>
        </w:rPr>
        <w:t>POSTOPERATIVE INSTRUCTIONS</w:t>
      </w:r>
    </w:p>
    <w:p w:rsidR="004A7622" w:rsidRPr="000C382A" w:rsidRDefault="004A7622" w:rsidP="004A7622">
      <w:pPr>
        <w:jc w:val="center"/>
        <w:rPr>
          <w:rFonts w:ascii="Cambria" w:hAnsi="Cambria"/>
          <w:b/>
        </w:rPr>
      </w:pPr>
    </w:p>
    <w:p w:rsidR="004A7622" w:rsidRPr="000C382A" w:rsidRDefault="004A7622" w:rsidP="004A7622">
      <w:pPr>
        <w:jc w:val="center"/>
        <w:rPr>
          <w:rFonts w:ascii="Cambria" w:hAnsi="Cambria"/>
          <w:b/>
          <w:i/>
          <w:sz w:val="28"/>
          <w:szCs w:val="28"/>
        </w:rPr>
      </w:pPr>
      <w:r w:rsidRPr="000C382A">
        <w:rPr>
          <w:rFonts w:ascii="Cambria" w:hAnsi="Cambria"/>
          <w:b/>
          <w:i/>
          <w:sz w:val="28"/>
          <w:szCs w:val="28"/>
        </w:rPr>
        <w:t>Jennifer D. Rea, MD</w:t>
      </w:r>
    </w:p>
    <w:p w:rsidR="004A7622" w:rsidRPr="000C382A" w:rsidRDefault="004A7622" w:rsidP="004A7622">
      <w:pPr>
        <w:jc w:val="center"/>
        <w:rPr>
          <w:rFonts w:ascii="Cambria" w:hAnsi="Cambria"/>
        </w:rPr>
      </w:pPr>
    </w:p>
    <w:p w:rsidR="00F81CEA" w:rsidRPr="000C382A" w:rsidRDefault="004A7622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 xml:space="preserve">A prescription for pain medication will be given to you on the day of your surgery </w:t>
      </w:r>
      <w:r w:rsidR="00765BB7" w:rsidRPr="000C382A">
        <w:rPr>
          <w:rFonts w:ascii="Cambria" w:hAnsi="Cambria"/>
        </w:rPr>
        <w:t xml:space="preserve">and may cause constipation.  </w:t>
      </w:r>
      <w:r w:rsidR="00F81CEA" w:rsidRPr="000C382A">
        <w:rPr>
          <w:rFonts w:ascii="Cambria" w:hAnsi="Cambria"/>
        </w:rPr>
        <w:t>Do not drive, drink alcoholic beverages or operate heavy machinery while taking this medication.</w:t>
      </w:r>
    </w:p>
    <w:p w:rsidR="00C829A0" w:rsidRPr="000C382A" w:rsidRDefault="00C829A0" w:rsidP="00C829A0">
      <w:pPr>
        <w:pStyle w:val="ListParagraph"/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Postoperatively you are to take one capful of Miralax (generic works just as well) once a day.  Discontinue if diarrhea occurs.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Postoperative office visits are essential to insure proper healing of your wounds.  Please call our office to make your fi</w:t>
      </w:r>
      <w:r w:rsidR="00C829A0" w:rsidRPr="000C382A">
        <w:rPr>
          <w:rFonts w:ascii="Cambria" w:hAnsi="Cambria"/>
        </w:rPr>
        <w:t>r</w:t>
      </w:r>
      <w:r w:rsidRPr="000C382A">
        <w:rPr>
          <w:rFonts w:ascii="Cambria" w:hAnsi="Cambria"/>
        </w:rPr>
        <w:t>st appointment as instructed.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Sitz baths, comfortable warm, should be taken three times a day especially after bowel movements.  The bath should last no longer than 20 minutes.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Some bloody discharge, especially after bowel movements, can be expected after anorectal surgery.  If there is prolonged or pr</w:t>
      </w:r>
      <w:r w:rsidR="00C829A0" w:rsidRPr="000C382A">
        <w:rPr>
          <w:rFonts w:ascii="Cambria" w:hAnsi="Cambria"/>
        </w:rPr>
        <w:t>ofuse bleeding, call us at once.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Bowel movements after anorectal surgery may produce some discomfort.  This will diminish as the healing progresses.  You should have a bowel movement at least every other day.  If two days pass without a bowel movement, take another capful of Miralax and repeat in six hours if no result.  Call me in my office if you continue to be unable to move your bowels.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 xml:space="preserve">The use of dry toilet </w:t>
      </w:r>
      <w:r w:rsidR="002D7022">
        <w:rPr>
          <w:rFonts w:ascii="Cambria" w:hAnsi="Cambria"/>
        </w:rPr>
        <w:t xml:space="preserve">tissue </w:t>
      </w:r>
      <w:bookmarkStart w:id="0" w:name="_GoBack"/>
      <w:bookmarkEnd w:id="0"/>
      <w:r w:rsidRPr="000C382A">
        <w:rPr>
          <w:rFonts w:ascii="Cambria" w:hAnsi="Cambria"/>
        </w:rPr>
        <w:t>may be irritating after anorectal surgery.  If this is the case, use wet wipes or cotton, or if possible use a sitz bath or hand-held water bottle to cleanse yourself.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A general diet is recommended including plenty of fresh fruits and vegetables.  Try to drink six to eight glasses of fluid a day beginning the day after the surgery.</w:t>
      </w:r>
    </w:p>
    <w:p w:rsidR="00C829A0" w:rsidRPr="000C382A" w:rsidRDefault="00C829A0" w:rsidP="00C829A0">
      <w:pPr>
        <w:rPr>
          <w:rFonts w:ascii="Cambria" w:hAnsi="Cambria"/>
        </w:rPr>
      </w:pPr>
    </w:p>
    <w:p w:rsidR="00F81CEA" w:rsidRPr="000C382A" w:rsidRDefault="00F81CEA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 xml:space="preserve">No strenuous exercise or heavy lifting should be attempted </w:t>
      </w:r>
      <w:r w:rsidR="00EB7FB1" w:rsidRPr="000C382A">
        <w:rPr>
          <w:rFonts w:ascii="Cambria" w:hAnsi="Cambria"/>
        </w:rPr>
        <w:t>until</w:t>
      </w:r>
      <w:r w:rsidRPr="000C382A">
        <w:rPr>
          <w:rFonts w:ascii="Cambria" w:hAnsi="Cambria"/>
        </w:rPr>
        <w:t xml:space="preserve"> healing is well underway.  </w:t>
      </w:r>
      <w:r w:rsidR="00EB7FB1" w:rsidRPr="000C382A">
        <w:rPr>
          <w:rFonts w:ascii="Cambria" w:hAnsi="Cambria"/>
        </w:rPr>
        <w:t>Climbing stairs, walking and car riding may be done in moderation.</w:t>
      </w:r>
    </w:p>
    <w:p w:rsidR="00C829A0" w:rsidRPr="000C382A" w:rsidRDefault="00C829A0" w:rsidP="00C829A0">
      <w:pPr>
        <w:rPr>
          <w:rFonts w:ascii="Cambria" w:hAnsi="Cambria"/>
        </w:rPr>
      </w:pPr>
    </w:p>
    <w:p w:rsidR="00C829A0" w:rsidRPr="000C382A" w:rsidRDefault="00C829A0" w:rsidP="00F81CE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382A">
        <w:rPr>
          <w:rFonts w:ascii="Cambria" w:hAnsi="Cambria"/>
        </w:rPr>
        <w:t>If you have any questions about your postoperative care, feel free to call anytime.  To reach me or the physician on-call after office hours call 859-276-2594.</w:t>
      </w:r>
    </w:p>
    <w:p w:rsidR="00C829A0" w:rsidRPr="000C382A" w:rsidRDefault="00C829A0" w:rsidP="00C829A0">
      <w:pPr>
        <w:rPr>
          <w:rFonts w:ascii="Cambria" w:hAnsi="Cambria"/>
        </w:rPr>
      </w:pPr>
    </w:p>
    <w:p w:rsidR="00C829A0" w:rsidRPr="000C382A" w:rsidRDefault="00C829A0" w:rsidP="00C829A0">
      <w:pPr>
        <w:rPr>
          <w:rFonts w:ascii="Cambria" w:hAnsi="Cambria"/>
          <w:b/>
          <w:sz w:val="28"/>
          <w:szCs w:val="28"/>
        </w:rPr>
      </w:pPr>
      <w:r w:rsidRPr="000C382A">
        <w:rPr>
          <w:rFonts w:ascii="Cambria" w:hAnsi="Cambria"/>
          <w:b/>
          <w:sz w:val="28"/>
          <w:szCs w:val="28"/>
        </w:rPr>
        <w:t>GENERAL ANESTHESIA OR SEDATION:</w:t>
      </w:r>
    </w:p>
    <w:p w:rsidR="00C829A0" w:rsidRPr="000C382A" w:rsidRDefault="00C829A0" w:rsidP="00C829A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382A">
        <w:rPr>
          <w:rFonts w:ascii="Cambria" w:hAnsi="Cambria"/>
        </w:rPr>
        <w:t>Do not drive or operate machinery for 24 hours.</w:t>
      </w:r>
    </w:p>
    <w:p w:rsidR="00C829A0" w:rsidRPr="000C382A" w:rsidRDefault="00C829A0" w:rsidP="00C829A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382A">
        <w:rPr>
          <w:rFonts w:ascii="Cambria" w:hAnsi="Cambria"/>
        </w:rPr>
        <w:t>Do not consume alcohol, sleeping medications, or any non-prescribed medication for 24 hours.</w:t>
      </w:r>
    </w:p>
    <w:p w:rsidR="00C829A0" w:rsidRPr="000C382A" w:rsidRDefault="00C829A0" w:rsidP="00C829A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382A">
        <w:rPr>
          <w:rFonts w:ascii="Cambria" w:hAnsi="Cambria"/>
        </w:rPr>
        <w:t>Do not make any important decisions or sign any important documents in the next 24 hours.</w:t>
      </w:r>
    </w:p>
    <w:p w:rsidR="00C829A0" w:rsidRPr="000C382A" w:rsidRDefault="00C829A0" w:rsidP="00C829A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382A">
        <w:rPr>
          <w:rFonts w:ascii="Cambria" w:hAnsi="Cambria"/>
        </w:rPr>
        <w:t>You should have someone with you at home tonight.</w:t>
      </w:r>
    </w:p>
    <w:sectPr w:rsidR="00C829A0" w:rsidRPr="000C382A" w:rsidSect="00906029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25" w:rsidRDefault="009B6125" w:rsidP="009B6125">
      <w:r>
        <w:separator/>
      </w:r>
    </w:p>
  </w:endnote>
  <w:endnote w:type="continuationSeparator" w:id="0">
    <w:p w:rsidR="009B6125" w:rsidRDefault="009B6125" w:rsidP="009B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25" w:rsidRDefault="009B6125" w:rsidP="009B6125">
      <w:r>
        <w:separator/>
      </w:r>
    </w:p>
  </w:footnote>
  <w:footnote w:type="continuationSeparator" w:id="0">
    <w:p w:rsidR="009B6125" w:rsidRDefault="009B6125" w:rsidP="009B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3186"/>
      <w:gridCol w:w="3672"/>
    </w:tblGrid>
    <w:tr w:rsidR="00906029" w:rsidTr="00902E76">
      <w:tc>
        <w:tcPr>
          <w:tcW w:w="11016" w:type="dxa"/>
          <w:gridSpan w:val="3"/>
        </w:tcPr>
        <w:p w:rsidR="00906029" w:rsidRDefault="00906029" w:rsidP="00A5127C">
          <w:r>
            <w:rPr>
              <w:noProof/>
            </w:rPr>
            <w:drawing>
              <wp:inline distT="0" distB="0" distL="0" distR="0" wp14:anchorId="3F05D1EF" wp14:editId="5D5399AF">
                <wp:extent cx="2857500" cy="889000"/>
                <wp:effectExtent l="0" t="0" r="0" b="6350"/>
                <wp:docPr id="2" name="Picture 2" descr="C:\Users\lfarrow\AppData\Local\Temp\EMR_3934B215F70E4F0CA7566964668CB26B\16301F773A9C46BAA4EF6F1FB706187E\37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farrow\AppData\Local\Temp\EMR_3934B215F70E4F0CA7566964668CB26B\16301F773A9C46BAA4EF6F1FB706187E\37C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6029" w:rsidRPr="00AC1741" w:rsidTr="00902E76">
      <w:tc>
        <w:tcPr>
          <w:tcW w:w="4158" w:type="dxa"/>
        </w:tcPr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John M. Fox, MD, FACRS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David J. Svetich, MD, FACRS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Charles L. Papp, MD, FACS, FACRS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John T. Dvorak, MD, MS, FACS, FACRS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Bruce M. Belin, MD, FACS, FACRS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Stephen P. Schindler, MD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Nathan H. Massey, MD</w:t>
          </w:r>
        </w:p>
        <w:p w:rsidR="00906029" w:rsidRPr="00AC1741" w:rsidRDefault="00906029" w:rsidP="00902E76">
          <w:pPr>
            <w:rPr>
              <w:rFonts w:ascii="Tahoma" w:eastAsia="Times New Roman" w:hAnsi="Tahoma" w:cs="Times New Roman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Thomas C. Knopp, DO</w:t>
          </w:r>
        </w:p>
        <w:p w:rsidR="00906029" w:rsidRPr="00AC1741" w:rsidRDefault="00906029" w:rsidP="00902E76">
          <w:pPr>
            <w:rPr>
              <w:rFonts w:ascii="Tahoma" w:hAnsi="Tahoma"/>
              <w:sz w:val="16"/>
            </w:rPr>
          </w:pPr>
          <w:r w:rsidRPr="00AC1741">
            <w:rPr>
              <w:rFonts w:ascii="Tahoma" w:eastAsia="Times New Roman" w:hAnsi="Tahoma" w:cs="Times New Roman"/>
              <w:sz w:val="16"/>
            </w:rPr>
            <w:t>Jennifer D. Rea, MD</w:t>
          </w:r>
        </w:p>
      </w:tc>
      <w:tc>
        <w:tcPr>
          <w:tcW w:w="3186" w:type="dxa"/>
        </w:tcPr>
        <w:p w:rsidR="00906029" w:rsidRPr="00AC1741" w:rsidRDefault="00906029" w:rsidP="00902E76">
          <w:pPr>
            <w:rPr>
              <w:rFonts w:ascii="Tahoma" w:hAnsi="Tahoma"/>
              <w:sz w:val="16"/>
            </w:rPr>
          </w:pPr>
        </w:p>
      </w:tc>
      <w:tc>
        <w:tcPr>
          <w:tcW w:w="3672" w:type="dxa"/>
        </w:tcPr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br/>
            <w:t>2620 Wilhite Drive</w:t>
          </w:r>
        </w:p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t>Lexington, KY 40503</w:t>
          </w:r>
        </w:p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t>Colorectal Phone: 859-278-6031</w:t>
          </w:r>
        </w:p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t>Colorectal Fax: 859-277-7015</w:t>
          </w:r>
        </w:p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t>GI Phone: 859-278-8486</w:t>
          </w:r>
        </w:p>
        <w:p w:rsidR="00906029" w:rsidRPr="00AC1741" w:rsidRDefault="00906029" w:rsidP="00902E76">
          <w:pPr>
            <w:jc w:val="right"/>
            <w:rPr>
              <w:rFonts w:ascii="Tahoma" w:eastAsia="Times New Roman" w:hAnsi="Tahoma" w:cs="Tahoma"/>
              <w:sz w:val="16"/>
            </w:rPr>
          </w:pPr>
          <w:r w:rsidRPr="00AC1741">
            <w:rPr>
              <w:rFonts w:ascii="Tahoma" w:eastAsia="Times New Roman" w:hAnsi="Tahoma" w:cs="Tahoma"/>
              <w:sz w:val="16"/>
            </w:rPr>
            <w:t>GI Fax: 859-278-8488</w:t>
          </w:r>
        </w:p>
        <w:p w:rsidR="00906029" w:rsidRPr="00AC1741" w:rsidRDefault="002D7022" w:rsidP="00902E76">
          <w:pPr>
            <w:jc w:val="right"/>
            <w:rPr>
              <w:rFonts w:ascii="Tahoma" w:hAnsi="Tahoma"/>
              <w:sz w:val="16"/>
            </w:rPr>
          </w:pPr>
          <w:hyperlink r:id="rId2" w:history="1">
            <w:r w:rsidR="00906029" w:rsidRPr="00AC1741">
              <w:rPr>
                <w:rFonts w:ascii="Tahoma" w:eastAsia="Times New Roman" w:hAnsi="Tahoma" w:cs="Tahoma"/>
                <w:color w:val="0000FF"/>
                <w:sz w:val="16"/>
                <w:u w:val="single"/>
              </w:rPr>
              <w:t>www.csgaky.com</w:t>
            </w:r>
          </w:hyperlink>
        </w:p>
      </w:tc>
    </w:tr>
  </w:tbl>
  <w:p w:rsidR="009B6125" w:rsidRPr="00AC1741" w:rsidRDefault="009B6125" w:rsidP="00906029">
    <w:pPr>
      <w:rPr>
        <w:rFonts w:ascii="Tahoma" w:hAnsi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015"/>
    <w:multiLevelType w:val="hybridMultilevel"/>
    <w:tmpl w:val="6EC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1BE9"/>
    <w:multiLevelType w:val="hybridMultilevel"/>
    <w:tmpl w:val="E04AF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927603-64C5-4A3B-8191-477E15960641}"/>
    <w:docVar w:name="dgnword-eventsink" w:val="218703392"/>
  </w:docVars>
  <w:rsids>
    <w:rsidRoot w:val="009B6125"/>
    <w:rsid w:val="000C382A"/>
    <w:rsid w:val="002D7022"/>
    <w:rsid w:val="004A7622"/>
    <w:rsid w:val="00765BB7"/>
    <w:rsid w:val="008076BC"/>
    <w:rsid w:val="00906029"/>
    <w:rsid w:val="00925F54"/>
    <w:rsid w:val="009B6125"/>
    <w:rsid w:val="00A5127C"/>
    <w:rsid w:val="00AC1741"/>
    <w:rsid w:val="00B61E8B"/>
    <w:rsid w:val="00C829A0"/>
    <w:rsid w:val="00EB7FB1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25"/>
  </w:style>
  <w:style w:type="paragraph" w:styleId="Footer">
    <w:name w:val="footer"/>
    <w:basedOn w:val="Normal"/>
    <w:link w:val="FooterChar"/>
    <w:uiPriority w:val="99"/>
    <w:unhideWhenUsed/>
    <w:rsid w:val="009B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25"/>
  </w:style>
  <w:style w:type="paragraph" w:styleId="BalloonText">
    <w:name w:val="Balloon Text"/>
    <w:basedOn w:val="Normal"/>
    <w:link w:val="BalloonTextChar"/>
    <w:uiPriority w:val="99"/>
    <w:semiHidden/>
    <w:unhideWhenUsed/>
    <w:rsid w:val="009B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25"/>
  </w:style>
  <w:style w:type="paragraph" w:styleId="Footer">
    <w:name w:val="footer"/>
    <w:basedOn w:val="Normal"/>
    <w:link w:val="FooterChar"/>
    <w:uiPriority w:val="99"/>
    <w:unhideWhenUsed/>
    <w:rsid w:val="009B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25"/>
  </w:style>
  <w:style w:type="paragraph" w:styleId="BalloonText">
    <w:name w:val="Balloon Text"/>
    <w:basedOn w:val="Normal"/>
    <w:link w:val="BalloonTextChar"/>
    <w:uiPriority w:val="99"/>
    <w:semiHidden/>
    <w:unhideWhenUsed/>
    <w:rsid w:val="009B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195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gak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Farrow</dc:creator>
  <cp:lastModifiedBy>tmartin</cp:lastModifiedBy>
  <cp:revision>3</cp:revision>
  <cp:lastPrinted>2014-01-28T16:45:00Z</cp:lastPrinted>
  <dcterms:created xsi:type="dcterms:W3CDTF">2014-01-28T16:49:00Z</dcterms:created>
  <dcterms:modified xsi:type="dcterms:W3CDTF">2014-02-18T18:04:00Z</dcterms:modified>
</cp:coreProperties>
</file>